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ED67D6" wp14:editId="7CB53ADB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6DD" w:rsidRDefault="00DF66DD" w:rsidP="00DF66D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F66DD" w:rsidRDefault="00DF66DD" w:rsidP="00DF66D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6DD" w:rsidRDefault="00CB5EE0" w:rsidP="00DF66D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DF66D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6DD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DF66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DF66DD" w:rsidRDefault="00DF66DD" w:rsidP="00DF66DD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DF66DD" w:rsidRDefault="00DF66DD" w:rsidP="00DF66DD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6DD" w:rsidRDefault="00DF66DD" w:rsidP="00DF66DD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FB7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 земельного контроля на территории сельского поселения Выкатной на 2021 год и плановый период 2022-2023 годы</w:t>
      </w:r>
    </w:p>
    <w:p w:rsidR="00DF66DD" w:rsidRDefault="00DF66DD" w:rsidP="00DF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DD" w:rsidRDefault="00DF66DD" w:rsidP="00DF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DD" w:rsidRPr="00736D65" w:rsidRDefault="00DF66DD" w:rsidP="00A61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8.2 Федерального закона от 26.12.2008 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6DD" w:rsidRPr="00DF66DD" w:rsidRDefault="00DF66DD" w:rsidP="00A61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FB73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правленных на профилактику нарушений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Выкатной 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61E20" w:rsidRPr="00A61E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B73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DF6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6DD" w:rsidRPr="00471755" w:rsidRDefault="00DF66DD" w:rsidP="00DF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DF66DD" w:rsidRPr="00471755" w:rsidRDefault="00DF66DD" w:rsidP="00DF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F66DD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DD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DD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DD" w:rsidRPr="00FB3C33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DF66DD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DF66DD" w:rsidRPr="00FB3C33" w:rsidRDefault="00DF66DD" w:rsidP="00DF66D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DD" w:rsidRPr="00FB3C33" w:rsidRDefault="00DF66DD" w:rsidP="00DF66D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DF66DD" w:rsidRDefault="00DF66DD" w:rsidP="00DF66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CB5EE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B5E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CB5EE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bookmarkStart w:id="1" w:name="_GoBack"/>
      <w:bookmarkEnd w:id="1"/>
    </w:p>
    <w:p w:rsidR="0055544D" w:rsidRDefault="0055544D" w:rsidP="00DF6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AC3" w:rsidRDefault="00A61E20" w:rsidP="00A61E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мероприятий,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правленных на профилактику нарушений</w:t>
      </w:r>
    </w:p>
    <w:p w:rsidR="00836AC3" w:rsidRDefault="00A61E20" w:rsidP="00A61E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земельного контроля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Выкатной</w:t>
      </w:r>
    </w:p>
    <w:p w:rsidR="00A61E20" w:rsidRPr="00A61E20" w:rsidRDefault="00A61E20" w:rsidP="00A61E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836AC3" w:rsidRDefault="00365043" w:rsidP="00A61E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0E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</w:t>
      </w:r>
    </w:p>
    <w:p w:rsidR="00A61E20" w:rsidRDefault="00A61E20" w:rsidP="00DF6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43" w:rsidRDefault="00365043" w:rsidP="00365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365043" w:rsidRDefault="00365043" w:rsidP="00365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11ECF" w:rsidTr="00511ECF">
        <w:tc>
          <w:tcPr>
            <w:tcW w:w="2689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56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земельного контроля на территории городского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 2022-2023 годы</w:t>
            </w:r>
          </w:p>
        </w:tc>
      </w:tr>
      <w:tr w:rsidR="00511ECF" w:rsidTr="00511ECF">
        <w:tc>
          <w:tcPr>
            <w:tcW w:w="2689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656" w:type="dxa"/>
          </w:tcPr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</w:t>
            </w:r>
            <w:r w:rsidRPr="0051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294-ФЗ);</w:t>
            </w:r>
          </w:p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контроля»»; </w:t>
            </w:r>
          </w:p>
        </w:tc>
      </w:tr>
      <w:tr w:rsidR="00511ECF" w:rsidTr="00511ECF">
        <w:tc>
          <w:tcPr>
            <w:tcW w:w="2689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656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511ECF" w:rsidTr="00511ECF">
        <w:tc>
          <w:tcPr>
            <w:tcW w:w="2689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656" w:type="dxa"/>
          </w:tcPr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предупреждение нарушений обязательных требований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511ECF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прозрачности системы муниципального контроля;</w:t>
            </w:r>
          </w:p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рушению обязательных требований;</w:t>
            </w:r>
          </w:p>
        </w:tc>
      </w:tr>
      <w:tr w:rsidR="00511ECF" w:rsidTr="00511ECF">
        <w:tc>
          <w:tcPr>
            <w:tcW w:w="2689" w:type="dxa"/>
          </w:tcPr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6656" w:type="dxa"/>
          </w:tcPr>
          <w:p w:rsidR="00E257B1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E257B1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E257B1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257B1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511ECF" w:rsidRPr="00E600F6" w:rsidRDefault="00511ECF" w:rsidP="00511E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квалификации кадрового состава контрольных органов;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  <w:r w:rsidR="00E25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7B1" w:rsidTr="00511ECF">
        <w:tc>
          <w:tcPr>
            <w:tcW w:w="2689" w:type="dxa"/>
          </w:tcPr>
          <w:p w:rsidR="00E257B1" w:rsidRPr="00E600F6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656" w:type="dxa"/>
          </w:tcPr>
          <w:p w:rsidR="00E257B1" w:rsidRPr="00E600F6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год и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годы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7B1" w:rsidTr="00511ECF">
        <w:tc>
          <w:tcPr>
            <w:tcW w:w="2689" w:type="dxa"/>
          </w:tcPr>
          <w:p w:rsidR="00E257B1" w:rsidRPr="00E600F6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56" w:type="dxa"/>
          </w:tcPr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рисков причинения вреда охраняемым законом ценностям;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увеличение доли законопослушных подконтрольных субъектов-развитие системы профилактических мероприятий контрольного органа;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различных способов профилактики;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и внедрение технологий профилактической работы внутри контрольного органа;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деятельности контрольного органа;</w:t>
            </w:r>
          </w:p>
          <w:p w:rsidR="00E257B1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уменьшение административной нагрузки на подконтрольны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уровня правовой грамотности подконтрольных субъектов;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обеспечение единообразия понимания предмета контроля подконтрольными субъектами;</w:t>
            </w:r>
          </w:p>
          <w:p w:rsidR="00E257B1" w:rsidRPr="00E600F6" w:rsidRDefault="00E257B1" w:rsidP="00E257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 добросовестному поведению;</w:t>
            </w:r>
          </w:p>
        </w:tc>
      </w:tr>
    </w:tbl>
    <w:p w:rsidR="00365043" w:rsidRDefault="00365043" w:rsidP="0036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7B1" w:rsidRPr="00E257B1" w:rsidRDefault="00E257B1" w:rsidP="00E25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Аналитическая часть Программы </w:t>
      </w:r>
    </w:p>
    <w:p w:rsidR="00E257B1" w:rsidRPr="00E257B1" w:rsidRDefault="00E257B1" w:rsidP="00E25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7B1" w:rsidRP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1.1. Вид осуществляемого муниципального контроля.</w:t>
      </w:r>
    </w:p>
    <w:p w:rsidR="00E257B1" w:rsidRP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земельного контроля, оценка соблюдения которых является предметом осуществления муниципального контроля администраци</w:t>
      </w:r>
      <w:r w:rsidR="001E4B4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B4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1E4B40">
        <w:rPr>
          <w:rFonts w:ascii="Times New Roman" w:eastAsia="Times New Roman" w:hAnsi="Times New Roman"/>
          <w:sz w:val="24"/>
          <w:szCs w:val="24"/>
          <w:lang w:eastAsia="ru-RU"/>
        </w:rPr>
        <w:t>Выкатной.</w:t>
      </w:r>
    </w:p>
    <w:p w:rsidR="00E257B1" w:rsidRP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1.2. Обзор муниципального контроля.</w:t>
      </w:r>
    </w:p>
    <w:p w:rsidR="00E257B1" w:rsidRP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1.2.1. Подконтрольные субъекты.</w:t>
      </w:r>
    </w:p>
    <w:p w:rsidR="00E257B1" w:rsidRP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объектах, подлежащих муниципальному земельному контролю на территории </w:t>
      </w:r>
      <w:r w:rsidR="001E4B4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1E4B40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57B1" w:rsidRDefault="00E257B1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7B1">
        <w:rPr>
          <w:rFonts w:ascii="Times New Roman" w:eastAsia="Times New Roman" w:hAnsi="Times New Roman"/>
          <w:sz w:val="24"/>
          <w:szCs w:val="24"/>
          <w:lang w:eastAsia="ru-RU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контроля.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статья 39.33, статья 39.35, пункты 1, 2 статьи 39.36, статья 42, пункты 1,2 статьи 56, пункты 3, 4 статьи 85 Земельного кодекса Российской Федерации, пункты 1, 2 статьи 8.1 Гражданского кодекса Российской Федерации, пункт 3 статьи 28 Федерального закона Российской Федерации от 21.12.2001 № 178-ФЗ «О приватизации государственного и муниципального имущества»,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1.3. Основанные цели и задачи Программы, направленные на минимизацию рисков причинения вреда охраняемым законом ценностям и (или) ущерба.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Целями Программы являются: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1) предотвращение рисков причинения вреда охраняемым законом ценностям в подконтрольной сфере общественных отношений;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2)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3) создание инфраструктуры профилактики рисков причинения вреда охраняемым законом ценностям;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4) повышение прозрачности системы муниципального контроля;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5) устранение причин, факторов и условий, способствующих возможному нарушению обязательных требований.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5) определение перечня видов и сбор статистических данных, необходимых для организации профилактической работы;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6) повышение квалификации кадрового состава контрольных органов;</w:t>
      </w:r>
    </w:p>
    <w:p w:rsidR="001E4B40" w:rsidRPr="001E4B40" w:rsidRDefault="001E4B40" w:rsidP="001E4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40">
        <w:rPr>
          <w:rFonts w:ascii="Times New Roman" w:eastAsia="Times New Roman" w:hAnsi="Times New Roman"/>
          <w:sz w:val="24"/>
          <w:szCs w:val="24"/>
          <w:lang w:eastAsia="ru-RU"/>
        </w:rPr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15E35" w:rsidRDefault="00715E35" w:rsidP="00E2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0F6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призвана обеспечить создание условий для снижения случаев нарушения в области муниципального земельного контроля, повышения результативности и эффективности надзора в области муниципального земельного контроля, формирования заинтересованности подконтрольных субъектов в соблюдении земельного законодательства.</w:t>
      </w:r>
    </w:p>
    <w:p w:rsidR="00715E35" w:rsidRDefault="00715E35" w:rsidP="00715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E35" w:rsidRPr="00715E35" w:rsidRDefault="00715E35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План мероприятий по профилактике нарушений </w:t>
      </w:r>
    </w:p>
    <w:p w:rsidR="00715E35" w:rsidRPr="00715E35" w:rsidRDefault="00715E35" w:rsidP="00715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715E35" w:rsidP="00BF1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по профилактике нарушений </w:t>
      </w:r>
      <w:r w:rsidR="00BF12DE"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</w:t>
      </w:r>
      <w:r w:rsidR="00BF12D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F12DE"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Программе.</w:t>
      </w:r>
    </w:p>
    <w:p w:rsidR="00BF12DE" w:rsidRDefault="00BF12DE" w:rsidP="00715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85" w:rsidRPr="00CA4E85" w:rsidRDefault="00CA4E85" w:rsidP="00CA4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Ресурсное обеспечение Программы </w:t>
      </w:r>
    </w:p>
    <w:p w:rsidR="00CA4E85" w:rsidRPr="00CA4E85" w:rsidRDefault="00CA4E85" w:rsidP="00CA4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85" w:rsidRPr="00CA4E85" w:rsidRDefault="00CA4E85" w:rsidP="005B3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 Для реализации профилактических мероприятий привлекаются специалисты администрации</w:t>
      </w:r>
      <w:r w:rsidR="005B3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</w:t>
      </w: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E85" w:rsidRPr="00CA4E85" w:rsidRDefault="00CA4E85" w:rsidP="005B3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Информационно-аналитическое обеспечение реализации Программы осуществляется с использованием официального сайта.</w:t>
      </w:r>
    </w:p>
    <w:p w:rsidR="005B3842" w:rsidRDefault="00CA4E85" w:rsidP="005B3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реализации Программы не предусмотрено.</w:t>
      </w:r>
    </w:p>
    <w:p w:rsidR="00CA4E85" w:rsidRPr="00CA4E85" w:rsidRDefault="00CA4E85" w:rsidP="005B3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56"/>
      <w:bookmarkEnd w:id="3"/>
    </w:p>
    <w:p w:rsidR="00CA4E85" w:rsidRPr="00CA4E85" w:rsidRDefault="00CA4E85" w:rsidP="00CA4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4. Отчетные показатели Программы </w:t>
      </w:r>
    </w:p>
    <w:p w:rsidR="00BF12DE" w:rsidRDefault="00BF12DE" w:rsidP="00CA4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показателям качества профилактической деятельности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следующие: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1. Количество выданных предостережений.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2. Количество субъектов, которым выданы предостережения.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размещения на официальном сайте руководств (памяток), информационных статей.</w:t>
      </w:r>
    </w:p>
    <w:p w:rsidR="00BF12DE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разъяснительной работы в средствах массовой информации и подобных мероприятий по информированию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Показатели эффективности Программы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AD01AD" w:rsidRDefault="00AD01AD" w:rsidP="00AD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43"/>
        <w:gridCol w:w="2262"/>
      </w:tblGrid>
      <w:tr w:rsidR="00A36A7F" w:rsidTr="00A36A7F">
        <w:trPr>
          <w:trHeight w:val="1114"/>
        </w:trPr>
        <w:tc>
          <w:tcPr>
            <w:tcW w:w="540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543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отчетного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262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отчетного показателя (%)</w:t>
            </w:r>
          </w:p>
        </w:tc>
      </w:tr>
      <w:tr w:rsidR="00A36A7F" w:rsidTr="00A36A7F">
        <w:tc>
          <w:tcPr>
            <w:tcW w:w="540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3" w:type="dxa"/>
          </w:tcPr>
          <w:p w:rsidR="00A36A7F" w:rsidRPr="00E600F6" w:rsidRDefault="00A36A7F" w:rsidP="00AD01A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органа муниципального контроля </w:t>
            </w:r>
          </w:p>
        </w:tc>
        <w:tc>
          <w:tcPr>
            <w:tcW w:w="2262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A7F" w:rsidTr="00A36A7F">
        <w:tc>
          <w:tcPr>
            <w:tcW w:w="540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3" w:type="dxa"/>
          </w:tcPr>
          <w:p w:rsidR="00A36A7F" w:rsidRPr="00E600F6" w:rsidRDefault="00A36A7F" w:rsidP="00AD01A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262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A7F" w:rsidTr="00A36A7F">
        <w:tc>
          <w:tcPr>
            <w:tcW w:w="540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3" w:type="dxa"/>
          </w:tcPr>
          <w:p w:rsidR="00A36A7F" w:rsidRPr="00E600F6" w:rsidRDefault="00A36A7F" w:rsidP="00AD01A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использование подконтрольными субъектами земельных участков в соответствии с видом разрешенного использования, соответствия их расположения территориальных зонам, установленным Правилами землепользования и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</w:p>
        </w:tc>
        <w:tc>
          <w:tcPr>
            <w:tcW w:w="2262" w:type="dxa"/>
          </w:tcPr>
          <w:p w:rsidR="00A36A7F" w:rsidRPr="00E600F6" w:rsidRDefault="00A36A7F" w:rsidP="00AD01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1AD" w:rsidRPr="00AD01AD" w:rsidRDefault="00AD01AD" w:rsidP="00AD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администр</w:t>
      </w:r>
      <w:r w:rsidR="002A7E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="002A7E2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E23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2A7E23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сайте.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При текущем управлении реализацией Программы ответственное лицо выполняет следующие основные задачи: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подготовку докладов о ходе реализации Программы;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- 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у подконтрольных субъектов в связи с этим проблем;</w:t>
      </w:r>
    </w:p>
    <w:p w:rsidR="00AD01AD" w:rsidRPr="00AD01AD" w:rsidRDefault="00AD01AD" w:rsidP="00AD0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AD">
        <w:rPr>
          <w:rFonts w:ascii="Times New Roman" w:eastAsia="Times New Roman" w:hAnsi="Times New Roman"/>
          <w:sz w:val="24"/>
          <w:szCs w:val="24"/>
          <w:lang w:eastAsia="ru-RU"/>
        </w:rPr>
        <w:t>- подготавливает предложения по формированию (уточнению) перечня программных мероприятий на очередной финансовый год.</w:t>
      </w:r>
    </w:p>
    <w:p w:rsidR="00BF12DE" w:rsidRDefault="00BF12DE" w:rsidP="00AD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E" w:rsidRDefault="00BF12DE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F1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2DE" w:rsidRDefault="00BF12DE" w:rsidP="00BF12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811E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811E4"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7811E4" w:rsidRDefault="007811E4" w:rsidP="00BF12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E35" w:rsidRPr="00715E35" w:rsidRDefault="00715E35" w:rsidP="00715E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>План-график мероприятий по профилактике нарушений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CA4E85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2022-2023 годы</w:t>
      </w:r>
    </w:p>
    <w:p w:rsidR="00715E35" w:rsidRPr="00E257B1" w:rsidRDefault="00715E35" w:rsidP="00715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8"/>
        <w:gridCol w:w="7659"/>
        <w:gridCol w:w="1815"/>
        <w:gridCol w:w="2154"/>
        <w:gridCol w:w="2410"/>
      </w:tblGrid>
      <w:tr w:rsidR="001812B1" w:rsidTr="001812B1">
        <w:tc>
          <w:tcPr>
            <w:tcW w:w="558" w:type="dxa"/>
          </w:tcPr>
          <w:p w:rsidR="00715E35" w:rsidRPr="00E600F6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59" w:type="dxa"/>
          </w:tcPr>
          <w:p w:rsidR="00715E35" w:rsidRPr="00E600F6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815" w:type="dxa"/>
          </w:tcPr>
          <w:p w:rsidR="00715E35" w:rsidRPr="00E600F6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54" w:type="dxa"/>
          </w:tcPr>
          <w:p w:rsidR="00715E35" w:rsidRPr="00E600F6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410" w:type="dxa"/>
          </w:tcPr>
          <w:p w:rsidR="00715E35" w:rsidRPr="00E600F6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812B1" w:rsidTr="001812B1">
        <w:tc>
          <w:tcPr>
            <w:tcW w:w="558" w:type="dxa"/>
          </w:tcPr>
          <w:p w:rsidR="00715E35" w:rsidRDefault="00715E35" w:rsidP="00715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9" w:type="dxa"/>
          </w:tcPr>
          <w:p w:rsidR="00715E35" w:rsidRPr="00E600F6" w:rsidRDefault="00715E35" w:rsidP="00BF12D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земельному контролю на территории </w:t>
            </w:r>
            <w:r w:rsidR="00BF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</w:t>
            </w:r>
          </w:p>
        </w:tc>
        <w:tc>
          <w:tcPr>
            <w:tcW w:w="1815" w:type="dxa"/>
          </w:tcPr>
          <w:p w:rsidR="00715E35" w:rsidRPr="00E600F6" w:rsidRDefault="00BF12DE" w:rsidP="00715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715E35" w:rsidRDefault="006143ED" w:rsidP="00715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15E35"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715E35" w:rsidRPr="00E600F6" w:rsidRDefault="00715E35" w:rsidP="00715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мере необходимости) </w:t>
            </w:r>
          </w:p>
        </w:tc>
        <w:tc>
          <w:tcPr>
            <w:tcW w:w="2410" w:type="dxa"/>
          </w:tcPr>
          <w:p w:rsidR="00715E35" w:rsidRPr="007811E4" w:rsidRDefault="00715E35" w:rsidP="00715E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1812B1" w:rsidTr="001812B1">
        <w:tc>
          <w:tcPr>
            <w:tcW w:w="558" w:type="dxa"/>
          </w:tcPr>
          <w:p w:rsidR="00715E35" w:rsidRDefault="00BF12DE" w:rsidP="00BF12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9" w:type="dxa"/>
          </w:tcPr>
          <w:p w:rsidR="00715E35" w:rsidRPr="00E600F6" w:rsidRDefault="00715E35" w:rsidP="00BF12D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на территории </w:t>
            </w:r>
            <w:r w:rsidR="00BF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="00BF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текстов, соответству</w:t>
            </w:r>
            <w:r w:rsidR="00BF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нормативных правовых актов</w:t>
            </w:r>
          </w:p>
        </w:tc>
        <w:tc>
          <w:tcPr>
            <w:tcW w:w="1815" w:type="dxa"/>
          </w:tcPr>
          <w:p w:rsidR="00715E35" w:rsidRPr="00E600F6" w:rsidRDefault="00BF12DE" w:rsidP="00715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 w:rsidR="00715E35"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2154" w:type="dxa"/>
          </w:tcPr>
          <w:p w:rsidR="00715E35" w:rsidRPr="00E600F6" w:rsidRDefault="00715E35" w:rsidP="00715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(по мере необходимости </w:t>
            </w:r>
          </w:p>
        </w:tc>
        <w:tc>
          <w:tcPr>
            <w:tcW w:w="2410" w:type="dxa"/>
          </w:tcPr>
          <w:p w:rsidR="00715E35" w:rsidRPr="007811E4" w:rsidRDefault="00715E35" w:rsidP="00BF12D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1812B1" w:rsidTr="001812B1">
        <w:tc>
          <w:tcPr>
            <w:tcW w:w="558" w:type="dxa"/>
          </w:tcPr>
          <w:p w:rsidR="00BF12DE" w:rsidRDefault="00BF12DE" w:rsidP="00BF12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9" w:type="dxa"/>
          </w:tcPr>
          <w:p w:rsidR="00BF12DE" w:rsidRPr="00E600F6" w:rsidRDefault="00BF12DE" w:rsidP="00BF12D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случае изменения обязательных требований, требований, установленных муниципальными правовыми актами-подготовка и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правовыми актами</w:t>
            </w:r>
          </w:p>
        </w:tc>
        <w:tc>
          <w:tcPr>
            <w:tcW w:w="1815" w:type="dxa"/>
          </w:tcPr>
          <w:p w:rsidR="00BF12DE" w:rsidRPr="00E600F6" w:rsidRDefault="00BF12DE" w:rsidP="00BF12D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4" w:type="dxa"/>
          </w:tcPr>
          <w:p w:rsidR="00BF12DE" w:rsidRPr="00E600F6" w:rsidRDefault="00BF12DE" w:rsidP="001812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(по мере 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еобходимости) </w:t>
            </w:r>
          </w:p>
        </w:tc>
        <w:tc>
          <w:tcPr>
            <w:tcW w:w="2410" w:type="dxa"/>
          </w:tcPr>
          <w:p w:rsidR="00BF12DE" w:rsidRPr="007811E4" w:rsidRDefault="00BF12DE" w:rsidP="00BF12D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1812B1" w:rsidTr="001812B1">
        <w:tc>
          <w:tcPr>
            <w:tcW w:w="558" w:type="dxa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земельного контроля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вновь установленных обязательных требованиях законодательства </w:t>
            </w:r>
          </w:p>
        </w:tc>
      </w:tr>
      <w:tr w:rsidR="001812B1" w:rsidTr="001812B1">
        <w:tc>
          <w:tcPr>
            <w:tcW w:w="558" w:type="dxa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земельного контроля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Выкатной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предпринимателями в целях недопущения таких нарушений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30 марта года, следующего за отчетным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1812B1" w:rsidTr="001812B1">
        <w:tc>
          <w:tcPr>
            <w:tcW w:w="558" w:type="dxa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направление в рамках полномочий предостережений о недопустимости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рушения обязательных требований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35117A" w:rsidTr="00500D9A">
        <w:tc>
          <w:tcPr>
            <w:tcW w:w="558" w:type="dxa"/>
            <w:vMerge w:val="restart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8" w:type="dxa"/>
            <w:gridSpan w:val="4"/>
          </w:tcPr>
          <w:p w:rsidR="0035117A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сайте:</w:t>
            </w:r>
          </w:p>
        </w:tc>
      </w:tr>
      <w:tr w:rsidR="0035117A" w:rsidTr="001812B1">
        <w:tc>
          <w:tcPr>
            <w:tcW w:w="558" w:type="dxa"/>
            <w:vMerge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7811E4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117A"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  <w:r w:rsidR="0035117A"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(по мере необходимости)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5117A" w:rsidTr="001812B1">
        <w:tc>
          <w:tcPr>
            <w:tcW w:w="558" w:type="dxa"/>
            <w:vMerge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10 рабочих дней после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тверждения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5117A" w:rsidTr="001812B1">
        <w:tc>
          <w:tcPr>
            <w:tcW w:w="558" w:type="dxa"/>
            <w:vMerge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плановых (рейдовых) заданий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5 рабочих дней после утверждения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5117A" w:rsidTr="001812B1">
        <w:tc>
          <w:tcPr>
            <w:tcW w:w="558" w:type="dxa"/>
            <w:vMerge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ежеквартально,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5 числа месяца, следующего за отчетным кварталом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5117A" w:rsidTr="001812B1">
        <w:tc>
          <w:tcPr>
            <w:tcW w:w="558" w:type="dxa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9" w:type="dxa"/>
          </w:tcPr>
          <w:p w:rsidR="0035117A" w:rsidRPr="00E600F6" w:rsidRDefault="0035117A" w:rsidP="003511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815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30 марта года, следующего за отчетным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35117A" w:rsidTr="001812B1">
        <w:tc>
          <w:tcPr>
            <w:tcW w:w="558" w:type="dxa"/>
          </w:tcPr>
          <w:p w:rsidR="0035117A" w:rsidRDefault="0035117A" w:rsidP="00351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9" w:type="dxa"/>
          </w:tcPr>
          <w:p w:rsidR="0035117A" w:rsidRPr="00E600F6" w:rsidRDefault="0035117A" w:rsidP="001812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8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</w:tcPr>
          <w:p w:rsidR="0035117A" w:rsidRPr="00E600F6" w:rsidRDefault="001812B1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54" w:type="dxa"/>
          </w:tcPr>
          <w:p w:rsidR="0035117A" w:rsidRPr="00E600F6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20 декабря текущего года </w:t>
            </w:r>
          </w:p>
        </w:tc>
        <w:tc>
          <w:tcPr>
            <w:tcW w:w="2410" w:type="dxa"/>
          </w:tcPr>
          <w:p w:rsidR="0035117A" w:rsidRPr="007811E4" w:rsidRDefault="0035117A" w:rsidP="003511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новой программы профилактики </w:t>
            </w:r>
          </w:p>
        </w:tc>
      </w:tr>
    </w:tbl>
    <w:p w:rsidR="001E4B40" w:rsidRPr="00E257B1" w:rsidRDefault="001E4B40" w:rsidP="00715E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AC3" w:rsidRPr="00A61E20" w:rsidRDefault="00836AC3" w:rsidP="00DF6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6AC3" w:rsidRPr="00A61E20" w:rsidSect="00BF12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86"/>
    <w:rsid w:val="001812B1"/>
    <w:rsid w:val="001E4B40"/>
    <w:rsid w:val="002A7E23"/>
    <w:rsid w:val="0035117A"/>
    <w:rsid w:val="00365043"/>
    <w:rsid w:val="00511ECF"/>
    <w:rsid w:val="0055544D"/>
    <w:rsid w:val="005B3842"/>
    <w:rsid w:val="006143ED"/>
    <w:rsid w:val="00715E35"/>
    <w:rsid w:val="007811E4"/>
    <w:rsid w:val="00836AC3"/>
    <w:rsid w:val="009F4186"/>
    <w:rsid w:val="00A36A7F"/>
    <w:rsid w:val="00A61E20"/>
    <w:rsid w:val="00AD01AD"/>
    <w:rsid w:val="00BF12DE"/>
    <w:rsid w:val="00CA4E85"/>
    <w:rsid w:val="00CB5EE0"/>
    <w:rsid w:val="00DF66DD"/>
    <w:rsid w:val="00E257B1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52C"/>
  <w15:chartTrackingRefBased/>
  <w15:docId w15:val="{48F7F316-B81F-4A35-B383-8F56035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2021-02-17T10:03:00Z</cp:lastPrinted>
  <dcterms:created xsi:type="dcterms:W3CDTF">2021-01-26T10:45:00Z</dcterms:created>
  <dcterms:modified xsi:type="dcterms:W3CDTF">2021-02-17T10:04:00Z</dcterms:modified>
</cp:coreProperties>
</file>